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322</w:t>
      </w:r>
    </w:p>
    <w:p>
      <w:r>
        <w:t>Bundesgericht (BGE), 2021-07-06, DE</w:t>
      </w:r>
    </w:p>
    <w:p>
      <w:r>
        <w:rPr>
          <w:b/>
        </w:rPr>
        <w:t xml:space="preserve">Quelle: </w:t>
      </w:r>
      <w:r>
        <w:t>https://mcp.opencaselaw.ch/entscheid/bge_147 V 322</w:t>
      </w:r>
    </w:p>
    <w:p>
      <w:r>
        <w:t>FR: ATF 147 V 322</w:t>
      </w:r>
    </w:p>
    <w:p>
      <w:r>
        <w:t>IT: DTF 147 V 322</w:t>
      </w:r>
    </w:p>
    <w:p>
      <w:pPr>
        <w:pStyle w:val="Heading2"/>
      </w:pPr>
      <w:r>
        <w:t>Regeste</w:t>
      </w:r>
    </w:p>
    <w:p>
      <w:r>
        <w:t>Regeste Art. 2 Abs. 3, Art. 10 Abs. 1 und Art. 23 lit. a BVG; Art. 1 Abs. 1 der Verordnung vom 3. März 1997 über die obligatorische berufliche Vorsorge von arbeitslosen Personen; Versicherungsschutz bei Eintritt der Arbeitsunfähigkeit nach der Anmeldung bei der Arbeitslosenversicherung, aber vor der Ausrichtung der Arbeitslosenentschädigung. Die Rechtsprechung gemäss BGE 139 V 579 (wonach Personen, welche nach der Anmeldung bei der Arbeitslosenversicherung, aber noch vor dem Bezug von Taggeldern arbeitsunfähig und später invalid werden, bei der Stiftung Auffangeinrichtung BVG versichert sind, wenn sie die Anspruchsvoraussetzungen gemäss Art. 8 AVIG erfüllen) findet auch Anwendung, wenn die Arbeitslosenentschädigung aufgrund der koordinationsrechtlichen Bestimmung des Art. 28 Abs. 2 AVIG nicht ausgerichtet wird (E. 5.3-5.7).</w:t>
      </w:r>
    </w:p>
    <w:p>
      <w:pPr>
        <w:pStyle w:val="Heading2"/>
      </w:pPr>
      <w:r>
        <w:t>Erwägungen</w:t>
      </w:r>
    </w:p>
    <w:p>
      <w:r>
        <w:rPr>
          <w:b/>
        </w:rPr>
        <w:t>E. 2</w:t>
      </w:r>
    </w:p>
    <w:p>
      <w:r>
        <w:t>Streitig und zu prüfen ist, ob die Vorinstanz Bundesrecht verletzt hat, indem sie die Beschwerdeführerin verpflichtet hat, dem Beschwerdegegner rückwirkend ab 1. September 2016 eine halbe Invalidenrente auszurichten.</w:t>
      </w:r>
    </w:p>
    <w:p>
      <w:r>
        <w:rPr>
          <w:b/>
        </w:rPr>
        <w:t>E. 3.1</w:t>
      </w:r>
    </w:p>
    <w:p>
      <w:r>
        <w:t>Anspruch auf Invalidenleistungen haben nach Art. 23 lit. a BVG Personen, die im Sinne der Invalidenversicherung zu mindestens 40 % invalid sind und bei Eintritt der Arbeitsunfähigkeit, deren Ursache zur Invalidität geführt hat, versichert waren. Vorausgesetzt ist ein enger sachlicher und zeitlicher Zusammenhang zwischen der während des Vorsorgeverhältnisses eingetretenen Arbeitsunfähigkeit und der späteren Invalidität ( BGE 134 V 20 E. 3.2 mit Hinweisen; vgl. zum zeitlichen Konnex auch BGE 144 V 58 ).</w:t>
      </w:r>
    </w:p>
    <w:p>
      <w:r>
        <w:rPr>
          <w:b/>
        </w:rPr>
        <w:t>E. 3.2</w:t>
      </w:r>
    </w:p>
    <w:p>
      <w:r>
        <w:t>Gemäss Art. 2 Abs. 3 BVG unterstehen die Bezüger von Taggeldern der Arbeitslosenversicherung für die Risiken Tod und Invalidität der obligatorischen Versicherung. Diese beginnt gemäss Art. 10 Abs. 1 BVG mit dem Antritt des Arbeitsverhältnisses, für Bezüger von Taggeldern der Arbeitslosenversicherung mit dem Tag, für den erstmals eine Arbeitslosenentschädigung ausgerichtet wird (vgl. dazu SVR 2011 BVG Nr. 30 S. 114, 9C_793/2010 E. 4). Nach Art. 1 Abs. 1 der Verordnung vom 3. März 1997 über die obligatorische berufliche Vorsorge von arbeitslosen Personen (SR 837.174) BGE 147 V 322 S. 325 sind für die Risiken Tod und Invalidität Arbeitslose obligatorisch versichert, welche die Anspruchsvoraussetzungen nach Art. 8 AVIG für den Bezug von Taggeldern der Arbeitslosenversicherung erfüllen oder Entschädigungen nach Art. 29 AVIG beziehen (lit. a) und einen koordinierten Tageslohn nach Art. 4 oder 5 erzielen (lit. b). Die entsprechende Versicherung wird von der Auffangeinrichtung durchgeführt ( Art. 60 Abs. 2 lit. e BVG ). (...)</w:t>
      </w:r>
    </w:p>
    <w:p>
      <w:r>
        <w:rPr>
          <w:b/>
        </w:rPr>
        <w:t>E. 5.1</w:t>
      </w:r>
    </w:p>
    <w:p>
      <w:r>
        <w:t>Zu prüfen bleibt, ob die Beschwerdeführerin für die am 22. September 2015 eingetretene Arbeitsunfähigkeit leistungspflichtig ist. Die Auffassungen der Parteien in dieser Frage gehen auseinander, weil der Beschwerdegegner zwar ab 1. August 2015 Anspruch auf Arbeitslosentaggelder gehabt hätte (vgl. auch Verfügung des AWA vom 25. August 2015), aber im Zeitpunkt des Eintritts der Arbeitsunfähigkeit am 22. September 2015 noch keine entsprechende Auszahlung erhalten hatte, da er für denselben Zeitraum noch immer Krankentaggeld bezog.</w:t>
      </w:r>
    </w:p>
    <w:p>
      <w:r>
        <w:rPr>
          <w:b/>
        </w:rPr>
        <w:t>E. 5.2</w:t>
      </w:r>
    </w:p>
    <w:p>
      <w:r>
        <w:t>Der Beschwerdegegner und die Vorinstanz bejahen eine Leistungspflicht gestützt auf BGE 139 V 579 . Demgegenüber hält die Beschwerdeführerin dieses Urteil nicht für einschlägig mit der Begründung, es habe ihm ein ganz anderer Sachverhalt zugrunde gelegen, indem das Taggeld im damals zu beurteilenden Fall fälschlicherweise nicht ausgerichtet worden sei. Bereits aus dem Wortlaut von Art. 2 Abs. 3 und Art. 10 Abs. 1 BVG ergebe sich, dass der Versicherungsschutz die Ausrichtung eines Taggeldes und nicht nur eine grundsätzliche Anspruchsberechtigung voraussetze. Von diesem eindeutigen Wortlaut sei die Vorinstanz abgewichen, ohne dass sich dies aus teleologischen, historischen oder systematischen Gründen gerechtfertigt habe.</w:t>
      </w:r>
    </w:p>
    <w:p>
      <w:r>
        <w:rPr>
          <w:b/>
        </w:rPr>
        <w:t>E. 5.3</w:t>
      </w:r>
    </w:p>
    <w:p>
      <w:r>
        <w:t>In BGE 139 V 579 erwog das Bundesgericht, der Gesetzgeber habe in Art. 10 Abs. 1 BVG für den Beginn der obligatorischen Versicherung in allen drei Sprachfassungen den konkreten entschädigungsberechtigten Tag im Auge gehabt. Aus dem gesetzgeberischen Entstehungsprozess werde das Bestreben deutlich, den Versicherungsschutz der beruflichen Vorsorge bei Tod und Invalidität "während der Arbeitslosigkeit" sicherzustellen (E. 4.1). Dem widerspräche eine Lösung, die einen Versicherungsschutz erst im Zeitpunkt der tatsächlichen Ausrichtung von Arbeitslosentaggeldern BGE 147 V 322 S. 326 annähme. Es komme deshalb nicht auf den Zeitpunkt der erstmaligen faktischen Taggeldausrichtung an, sondern darauf, ab wann das Taggeld arbeitslosenversicherungsrechtlich geschuldet gewesen sei und hätte ausbezahlt werden müssen, wenn die Arbeitslosenkasse richtig vorgegangen wäre. Würde auf den faktischen Taggeldbezug abgestellt, wäre der Beginn des Versicherungsschutzes von Zufälligkeiten des Verwaltungshandelns abhängig, was nicht einleuchte. Entscheidend sei der Beginn der entschädigungsberechtigten Tage. Versichert sei, wer die Anspruchsvoraussetzungen nach Art. 8 AVIG erfülle und den koordinierten Lohn nach BVG erreiche (E. 4.2).</w:t>
      </w:r>
    </w:p>
    <w:p>
      <w:r>
        <w:rPr>
          <w:b/>
        </w:rPr>
        <w:t>E. 5.4</w:t>
      </w:r>
    </w:p>
    <w:p>
      <w:r>
        <w:t>Wie die Beschwerdeführerin zutreffend vorbringt, unterscheidet sich der BGE 139 V 579 zugrunde liegende Sachverhalt insofern von dem hier zu beurteilenden, als das Taggeld damals aufgrund eines Fehlers der Arbeitslosenkasse (sie ging unzutreffenderweise von einem Leistungsaufschub aus [ BGE 139 V 579 E. 4.3.2]) erst später ausgerichtet worden war. Indessen hat das Bundesgericht über diese spezielle Fallkonstellation hinaus damals nach einer Auslegung der Bestimmung des Art. 10 Abs. 1 BVG im Sinne eines allgemeinen Grundsatzes erkannt, dass für den Versicherungsbeginn nicht die erstmalige faktische Taggeldausrichtung massgebend ist, sondern ab wann das Taggeld arbeitslosenversicherungsrechtlich geschuldet ist, was sich nach Art. 8 AVIG richtet ( BGE 139 V 579 E. 4.2; vgl. auch BRECHBÜHL/GECKELER HUNZIKER, in: BVG und FZG, 2. Aufl. 2019, N. 9 zu Art. 10 BVG ).</w:t>
      </w:r>
    </w:p>
    <w:p>
      <w:r>
        <w:rPr>
          <w:b/>
        </w:rPr>
        <w:t>E. 5.5</w:t>
      </w:r>
    </w:p>
    <w:p>
      <w:r>
        <w:t>Dass es trotz grundsätzlicher Anspruchsberechtigung nach Art. 8 AVIG (SR 837.0) nicht zur Auszahlung von Arbeitslosentaggeld kommt, kann - wie der hier zu beurteilende Sachverhalt zeigt - seinen Grund nun aber auch darin haben, dass für dieselbe Zeit Kranken- oder Unfalltaggelder ausgerichtet werden. So erfüllte der Beschwerdegegner ab 1. August 2015 zwar die Voraussetzungen des Art. 8 AVIG , erhielt aber keine Arbeitslosenentschädigung, weil er Krankentaggelder bezog, welche denselben Zeitraum betrafen. Denn damit es beim Zusammentreffen von Arbeitslosen- und Kranken- oder Unfalltaggeldern nicht zu einer Überentschädigung kommt, ist in Art. 28 Abs. 2 AVIG vorgesehen, dass Taggelder der Kranken- oder Unfallversicherung, die Erwerbsersatz darstellen, von der Arbeitslosenentschädigung abgezogen werden. Die Arbeitslosenversicherung ist subsidiär leistungspflichtig zur privaten Versicherung, die den Erwerbsausfall infolge Krankheit oder Unfall deckt ( Art. 28 BGE 147 V 322 S. 327 Abs. 2 und 4 AVIG ; SVR 2021 ALV Nr. 6 S. 18, Urteil 8C_385/ 2020 E. 5.1 mit Hinweisen).</w:t>
      </w:r>
    </w:p>
    <w:p>
      <w:r>
        <w:rPr>
          <w:b/>
        </w:rPr>
        <w:t>E. 5.6</w:t>
      </w:r>
    </w:p>
    <w:p>
      <w:r>
        <w:t>Es sind keine Gründe ersichtlich, weshalb die Rechtsprechung gemäss BGE 139 V 579 nicht auch Anwendung finden soll, wenn die Arbeitslosenentschädigung aufgrund der koordinationsrechtlichen Bestimmung des Art. 28 Abs. 2 AVIG nicht zur Ausrichtung gelangt. Auch in diesem Fall ist entsprechend den damaligen Erwägungen, welche sich auf den Wortlaut, die Entstehungsgeschichte sowie den Sinn und Zweck der Norm des Art. 10 Abs. 1 BVG stützen, für den Beginn des Versicherungsschutzes bei der Auffangeinrichtung die Anspruchsberechtigung nach Art. 8 AVIG massgebend ( BGE 139 V 579 E. 4.1 und 4.2). Nicht gefolgt werden kann der Beschwerdeführerin, soweit sie aus systematischen Gründen zum gegenteiligen Schluss gelangt. Sie beruft sich insbesondere auf Art. 4 der Verordnung vom 3. März 1997 über die obligatorische berufliche Vorsorge von arbeitslosen Personen, wonach der koordinierte Tageslohn zu versichern ist (Abs. 1), welcher die positive Differenz aus dem Arbeitslosentaggeld abzüglich des auf einen Tag nach Art. 3 Abs. 1 der Verordnung umgerechneten Koordinationsabzuges ist (Abs. 2). Dass die Arbeitslosenentschädigung zur Auszahlung gelangen muss, damit überhaupt eine positive Differenz und damit ein koordinierter Tageslohn resultieren kann, wie die Beschwerdeführerin vorbringt, ergibt sich allerdings auch aus dieser Verordnungsbestimmung nicht. Vielmehr ist eine Ermittlung der Höhe des Arbeitslosentaggeldes auch erforderlich für die Prüfung der Frage, ob nach Abzug allfälliger Kranken- oder Unfalltaggelder noch eine Arbeitslosenentschädigung zu erbringen ist. Ebenso wenig überzeugt die von der Beschwerdeführerin in diesem Zusammenhang weiter geltend gemachte Parallele zu den Personen, die einen Zwischenverdienst erzielen. Denn diese sind für die Zwischenverdiensttätigkeit in der Regel bei der Vorsorgeeinrichtung ihres Zwischenverdienstarbeitgebers für die Risiken Alter, Tod und Invalidität versichert und für den Taggeldbezug bei der Auffangeinrichtung für die Risiken Tod und Invalidität (vgl. Mitteilungen des BSV über die berufliche Vorsorge Nr. 38 vom 12. März 1997 S. 10), womit sie so oder anders Versicherungsschutz der beruflichen Vorsorge geniessen.</w:t>
      </w:r>
    </w:p>
    <w:p>
      <w:r>
        <w:rPr>
          <w:b/>
        </w:rPr>
        <w:t>E. 5.7</w:t>
      </w:r>
    </w:p>
    <w:p>
      <w:r>
        <w:t>Anders zu entscheiden - d.h. die Versicherung erst im Zeitpunkt beginnen zu lassen, in welchem die Krankentaggelder niedriger sind BGE 147 V 322 S. 328 als die Arbeitslosenentschädigung oder ganz wegfallen, womit die Arbeitslosenentschädigung zur Auszahlung gelangt (vgl. SVR 2021 ALV Nr. 6 S. 18, 8C_385/2020 E. 6.3.3) - hiesse, eine vom Gesetzgeber nicht gewollte Versicherungslücke in Kauf zu nehmen (vgl. dazu BGE 139 V 579 E. 4.1 in fine). Denn die Krankentaggeldversicherung bietet (anders als beispielsweise die Vorsorgeeinrichtung des Zwischenverdienstarbeitgebers; vgl. dazu E. 5.6) keinen entsprechenden Schutz gegen die Risiken Tod und Invalidität.</w:t>
      </w:r>
    </w:p>
    <w:p>
      <w:r>
        <w:rPr>
          <w:b/>
        </w:rPr>
        <w:t>E. 5.8</w:t>
      </w:r>
    </w:p>
    <w:p>
      <w:r>
        <w:t>Nach dem Gesagten war der Beschwerdegegner im Zeitpunkt des Eintritts der invalidisierenden Arbeitsunfähigkeit am 22. September 2015 bei der Beschwerdeführerin für die Risiken Tod und Invalidität versichert.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